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90D" w:rsidRPr="008A60A2" w:rsidRDefault="004568A0" w:rsidP="008A60A2">
      <w:pPr>
        <w:widowControl/>
        <w:spacing w:before="100" w:beforeAutospacing="1" w:after="100" w:afterAutospacing="1" w:line="480" w:lineRule="auto"/>
        <w:ind w:firstLine="405"/>
        <w:jc w:val="center"/>
        <w:rPr>
          <w:rFonts w:asciiTheme="minorEastAsia" w:hAnsiTheme="minorEastAsia" w:cs="Times New Roman"/>
          <w:kern w:val="0"/>
          <w:sz w:val="24"/>
          <w:szCs w:val="24"/>
        </w:rPr>
      </w:pPr>
      <w:bookmarkStart w:id="0" w:name="_GoBack"/>
      <w:r w:rsidRPr="008A60A2">
        <w:rPr>
          <w:rFonts w:asciiTheme="minorEastAsia" w:hAnsiTheme="minorEastAsia" w:cs="Times New Roman"/>
          <w:b/>
          <w:kern w:val="0"/>
          <w:sz w:val="24"/>
          <w:szCs w:val="24"/>
        </w:rPr>
        <w:t>北京大学</w:t>
      </w:r>
      <w:r w:rsidR="00A7390D" w:rsidRPr="008A60A2">
        <w:rPr>
          <w:rFonts w:asciiTheme="minorEastAsia" w:hAnsiTheme="minorEastAsia" w:cs="Times New Roman"/>
          <w:b/>
          <w:kern w:val="0"/>
          <w:sz w:val="24"/>
          <w:szCs w:val="24"/>
        </w:rPr>
        <w:t>环境模拟与污染控制国家重点实验室</w:t>
      </w:r>
    </w:p>
    <w:p w:rsidR="00A7390D" w:rsidRPr="008A60A2" w:rsidRDefault="00A7390D" w:rsidP="008A60A2">
      <w:pPr>
        <w:widowControl/>
        <w:spacing w:before="100" w:beforeAutospacing="1" w:after="100" w:afterAutospacing="1" w:line="480" w:lineRule="auto"/>
        <w:ind w:firstLine="405"/>
        <w:jc w:val="left"/>
        <w:rPr>
          <w:rFonts w:asciiTheme="minorEastAsia" w:hAnsiTheme="minorEastAsia" w:cs="Times New Roman"/>
          <w:kern w:val="0"/>
          <w:sz w:val="24"/>
          <w:szCs w:val="24"/>
        </w:rPr>
      </w:pPr>
      <w:r w:rsidRPr="008A60A2">
        <w:rPr>
          <w:rFonts w:asciiTheme="minorEastAsia" w:hAnsiTheme="minorEastAsia" w:cs="Times New Roman"/>
          <w:kern w:val="0"/>
          <w:sz w:val="24"/>
          <w:szCs w:val="24"/>
        </w:rPr>
        <w:t>环境模拟与污染控制国家重点联合实验室北京大学分室依托于北京大学环境科学与工程学院，1989年开始建设，1995年10月通过国家验收，正式挂牌为国家重点实验室。在2000年、2005年、2010年的评估中获得良好，在2015</w:t>
      </w:r>
      <w:r w:rsidR="00C7281C" w:rsidRPr="008A60A2">
        <w:rPr>
          <w:rFonts w:asciiTheme="minorEastAsia" w:hAnsiTheme="minorEastAsia" w:cs="Times New Roman"/>
          <w:kern w:val="0"/>
          <w:sz w:val="24"/>
          <w:szCs w:val="24"/>
        </w:rPr>
        <w:t>年的评估中获得优秀的成绩</w:t>
      </w:r>
      <w:r w:rsidR="00C7281C" w:rsidRPr="008A60A2">
        <w:rPr>
          <w:rFonts w:asciiTheme="minorEastAsia" w:hAnsiTheme="minorEastAsia" w:cs="Times New Roman" w:hint="eastAsia"/>
          <w:kern w:val="0"/>
          <w:sz w:val="24"/>
          <w:szCs w:val="24"/>
        </w:rPr>
        <w:t>。2</w:t>
      </w:r>
      <w:r w:rsidR="00C7281C" w:rsidRPr="008A60A2">
        <w:rPr>
          <w:rFonts w:asciiTheme="minorEastAsia" w:hAnsiTheme="minorEastAsia" w:cs="Times New Roman"/>
          <w:kern w:val="0"/>
          <w:sz w:val="24"/>
          <w:szCs w:val="24"/>
        </w:rPr>
        <w:t>019</w:t>
      </w:r>
      <w:r w:rsidR="00C7281C" w:rsidRPr="008A60A2">
        <w:rPr>
          <w:rFonts w:asciiTheme="minorEastAsia" w:hAnsiTheme="minorEastAsia" w:cs="Times New Roman" w:hint="eastAsia"/>
          <w:kern w:val="0"/>
          <w:sz w:val="24"/>
          <w:szCs w:val="24"/>
        </w:rPr>
        <w:t>年3月，基于</w:t>
      </w:r>
      <w:r w:rsidR="008A6175" w:rsidRPr="008A60A2">
        <w:rPr>
          <w:rFonts w:asciiTheme="minorEastAsia" w:hAnsiTheme="minorEastAsia" w:cs="Times New Roman" w:hint="eastAsia"/>
          <w:kern w:val="0"/>
          <w:sz w:val="24"/>
          <w:szCs w:val="24"/>
        </w:rPr>
        <w:t>与</w:t>
      </w:r>
      <w:r w:rsidR="00C7281C" w:rsidRPr="008A60A2">
        <w:rPr>
          <w:rFonts w:asciiTheme="minorEastAsia" w:hAnsiTheme="minorEastAsia" w:cs="Times New Roman" w:hint="eastAsia"/>
          <w:kern w:val="0"/>
          <w:sz w:val="24"/>
          <w:szCs w:val="24"/>
        </w:rPr>
        <w:t>德国于利希研究中心的长期合作，教育部批准成立了区域污染控制国际合作联合实验室（IJRC）。</w:t>
      </w:r>
    </w:p>
    <w:p w:rsidR="00A7390D" w:rsidRPr="008A60A2" w:rsidRDefault="00A7390D" w:rsidP="008A60A2">
      <w:pPr>
        <w:spacing w:line="480" w:lineRule="auto"/>
        <w:rPr>
          <w:rFonts w:asciiTheme="minorEastAsia" w:hAnsiTheme="minorEastAsia" w:cs="Times New Roman"/>
          <w:b/>
          <w:sz w:val="24"/>
          <w:szCs w:val="24"/>
        </w:rPr>
      </w:pPr>
      <w:r w:rsidRPr="008A60A2">
        <w:rPr>
          <w:rFonts w:asciiTheme="minorEastAsia" w:hAnsiTheme="minorEastAsia" w:cs="Times New Roman"/>
          <w:b/>
          <w:sz w:val="24"/>
          <w:szCs w:val="24"/>
        </w:rPr>
        <w:t>实验室的总体定位</w:t>
      </w:r>
    </w:p>
    <w:p w:rsidR="004568A0" w:rsidRPr="008A60A2" w:rsidRDefault="00A7390D" w:rsidP="008A60A2">
      <w:pPr>
        <w:spacing w:line="480" w:lineRule="auto"/>
        <w:ind w:firstLineChars="200" w:firstLine="480"/>
        <w:rPr>
          <w:rFonts w:asciiTheme="minorEastAsia" w:hAnsiTheme="minorEastAsia" w:cs="Times New Roman"/>
          <w:sz w:val="24"/>
          <w:szCs w:val="24"/>
        </w:rPr>
      </w:pPr>
      <w:r w:rsidRPr="008A60A2">
        <w:rPr>
          <w:rFonts w:asciiTheme="minorEastAsia" w:hAnsiTheme="minorEastAsia" w:cs="Times New Roman"/>
          <w:sz w:val="24"/>
          <w:szCs w:val="24"/>
        </w:rPr>
        <w:t>阐</w:t>
      </w:r>
      <w:r w:rsidR="004568A0" w:rsidRPr="008A60A2">
        <w:rPr>
          <w:rFonts w:asciiTheme="minorEastAsia" w:hAnsiTheme="minorEastAsia" w:cs="Times New Roman"/>
          <w:sz w:val="24"/>
          <w:szCs w:val="24"/>
        </w:rPr>
        <w:t>明区域性大气复合污染</w:t>
      </w:r>
      <w:r w:rsidR="00660A2C" w:rsidRPr="008A60A2">
        <w:rPr>
          <w:rFonts w:asciiTheme="minorEastAsia" w:hAnsiTheme="minorEastAsia" w:cs="Times New Roman" w:hint="eastAsia"/>
          <w:sz w:val="24"/>
          <w:szCs w:val="24"/>
        </w:rPr>
        <w:t>成因和机制</w:t>
      </w:r>
      <w:r w:rsidRPr="008A60A2">
        <w:rPr>
          <w:rFonts w:asciiTheme="minorEastAsia" w:hAnsiTheme="minorEastAsia" w:cs="Times New Roman"/>
          <w:sz w:val="24"/>
          <w:szCs w:val="24"/>
        </w:rPr>
        <w:t>，发展</w:t>
      </w:r>
      <w:r w:rsidR="004568A0" w:rsidRPr="008A60A2">
        <w:rPr>
          <w:rFonts w:asciiTheme="minorEastAsia" w:hAnsiTheme="minorEastAsia" w:cs="Times New Roman"/>
          <w:sz w:val="24"/>
          <w:szCs w:val="24"/>
        </w:rPr>
        <w:t>大气污染控制和大气环境质量改善的新理论、新方法和新技术</w:t>
      </w:r>
      <w:r w:rsidR="00660A2C" w:rsidRPr="008A60A2">
        <w:rPr>
          <w:rFonts w:asciiTheme="minorEastAsia" w:hAnsiTheme="minorEastAsia" w:cs="Times New Roman"/>
          <w:sz w:val="24"/>
          <w:szCs w:val="24"/>
        </w:rPr>
        <w:t>，为</w:t>
      </w:r>
      <w:r w:rsidR="00660A2C" w:rsidRPr="008A60A2">
        <w:rPr>
          <w:rFonts w:asciiTheme="minorEastAsia" w:hAnsiTheme="minorEastAsia" w:cs="Times New Roman" w:hint="eastAsia"/>
          <w:sz w:val="24"/>
          <w:szCs w:val="24"/>
        </w:rPr>
        <w:t>我国</w:t>
      </w:r>
      <w:r w:rsidRPr="008A60A2">
        <w:rPr>
          <w:rFonts w:asciiTheme="minorEastAsia" w:hAnsiTheme="minorEastAsia" w:cs="Times New Roman"/>
          <w:sz w:val="24"/>
          <w:szCs w:val="24"/>
        </w:rPr>
        <w:t>环境保护和生态改善提供科学依据、技术支撑和</w:t>
      </w:r>
      <w:r w:rsidR="00660A2C" w:rsidRPr="008A60A2">
        <w:rPr>
          <w:rFonts w:asciiTheme="minorEastAsia" w:hAnsiTheme="minorEastAsia" w:cs="Times New Roman" w:hint="eastAsia"/>
          <w:sz w:val="24"/>
          <w:szCs w:val="24"/>
        </w:rPr>
        <w:t>培养</w:t>
      </w:r>
      <w:r w:rsidRPr="008A60A2">
        <w:rPr>
          <w:rFonts w:asciiTheme="minorEastAsia" w:hAnsiTheme="minorEastAsia" w:cs="Times New Roman"/>
          <w:sz w:val="24"/>
          <w:szCs w:val="24"/>
        </w:rPr>
        <w:t>优秀人才。</w:t>
      </w:r>
    </w:p>
    <w:p w:rsidR="00A7390D" w:rsidRPr="008A60A2" w:rsidRDefault="00A7390D" w:rsidP="008A60A2">
      <w:pPr>
        <w:spacing w:line="480" w:lineRule="auto"/>
        <w:rPr>
          <w:rFonts w:asciiTheme="minorEastAsia" w:hAnsiTheme="minorEastAsia" w:cs="Times New Roman"/>
          <w:b/>
          <w:bCs/>
          <w:sz w:val="24"/>
          <w:szCs w:val="24"/>
        </w:rPr>
      </w:pPr>
    </w:p>
    <w:p w:rsidR="00A7390D" w:rsidRPr="008A60A2" w:rsidRDefault="00A7390D" w:rsidP="008A60A2">
      <w:pPr>
        <w:spacing w:line="480" w:lineRule="auto"/>
        <w:rPr>
          <w:rFonts w:asciiTheme="minorEastAsia" w:hAnsiTheme="minorEastAsia" w:cs="Times New Roman"/>
          <w:b/>
          <w:sz w:val="24"/>
          <w:szCs w:val="24"/>
        </w:rPr>
      </w:pPr>
      <w:r w:rsidRPr="008A60A2">
        <w:rPr>
          <w:rFonts w:asciiTheme="minorEastAsia" w:hAnsiTheme="minorEastAsia" w:cs="Times New Roman"/>
          <w:b/>
          <w:sz w:val="24"/>
          <w:szCs w:val="24"/>
        </w:rPr>
        <w:t xml:space="preserve">北大分室研究队伍情况 </w:t>
      </w:r>
    </w:p>
    <w:p w:rsidR="006D18DA" w:rsidRPr="008A60A2" w:rsidRDefault="00B52105" w:rsidP="008A60A2">
      <w:pPr>
        <w:spacing w:before="240" w:line="480" w:lineRule="auto"/>
        <w:ind w:firstLineChars="200" w:firstLine="480"/>
        <w:rPr>
          <w:rFonts w:asciiTheme="minorEastAsia" w:hAnsiTheme="minorEastAsia" w:cs="Times New Roman"/>
          <w:sz w:val="24"/>
          <w:szCs w:val="24"/>
        </w:rPr>
      </w:pPr>
      <w:r w:rsidRPr="008A60A2">
        <w:rPr>
          <w:rFonts w:asciiTheme="minorEastAsia" w:hAnsiTheme="minorEastAsia" w:cs="Times New Roman" w:hint="eastAsia"/>
          <w:sz w:val="24"/>
          <w:szCs w:val="24"/>
        </w:rPr>
        <w:t>实验室现有固定人员39名，其中研究人员31名。中国工程院院士</w:t>
      </w:r>
      <w:r w:rsidRPr="008A60A2">
        <w:rPr>
          <w:rFonts w:asciiTheme="minorEastAsia" w:hAnsiTheme="minorEastAsia" w:cs="Times New Roman"/>
          <w:sz w:val="24"/>
          <w:szCs w:val="24"/>
        </w:rPr>
        <w:t>2名，教育部特聘、讲座教授3名，教育部特聘青年学者1名，国家杰出青年基金获得者4名，国家优秀青年基金获得者2名，国家海外高层次人才引进计划2名，中组部“万人计划”科技领军人才2名，中组部“万人计划”青年拔尖人才1名，国家海外高层次人才引进计划（青年项目）7名</w:t>
      </w:r>
      <w:r w:rsidRPr="008A60A2">
        <w:rPr>
          <w:rFonts w:asciiTheme="minorEastAsia" w:hAnsiTheme="minorEastAsia" w:cs="Times New Roman" w:hint="eastAsia"/>
          <w:sz w:val="24"/>
          <w:szCs w:val="24"/>
        </w:rPr>
        <w:t>。创新人才推进计划重点领域创新团队2支，国家自然基金创新研究群体1支，教育部创新团队1支。</w:t>
      </w:r>
      <w:r w:rsidR="006D18DA" w:rsidRPr="008A60A2">
        <w:rPr>
          <w:rFonts w:asciiTheme="minorEastAsia" w:hAnsiTheme="minorEastAsia" w:cs="Times New Roman"/>
          <w:sz w:val="24"/>
          <w:szCs w:val="24"/>
        </w:rPr>
        <w:t>2018年获评首批“全国高校黄大年式教师团队”。</w:t>
      </w:r>
    </w:p>
    <w:p w:rsidR="00944A9D" w:rsidRPr="008A60A2" w:rsidRDefault="00944A9D" w:rsidP="008A60A2">
      <w:pPr>
        <w:spacing w:before="240" w:line="480" w:lineRule="auto"/>
        <w:rPr>
          <w:rFonts w:asciiTheme="minorEastAsia" w:hAnsiTheme="minorEastAsia" w:cs="Times New Roman"/>
          <w:sz w:val="24"/>
          <w:szCs w:val="24"/>
          <w:highlight w:val="yellow"/>
        </w:rPr>
      </w:pPr>
      <w:r w:rsidRPr="008A60A2">
        <w:rPr>
          <w:rFonts w:asciiTheme="minorEastAsia" w:hAnsiTheme="minorEastAsia" w:cs="Times New Roman"/>
          <w:noProof/>
          <w:sz w:val="24"/>
          <w:szCs w:val="24"/>
        </w:rPr>
        <w:lastRenderedPageBreak/>
        <w:drawing>
          <wp:inline distT="0" distB="0" distL="0" distR="0">
            <wp:extent cx="5274310" cy="3515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环境模拟与污染控制国家重点联合实验室2012年工作年会.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rsidR="00DD37F2" w:rsidRPr="008A60A2" w:rsidRDefault="00DD37F2" w:rsidP="008A60A2">
      <w:pPr>
        <w:spacing w:before="240" w:line="480" w:lineRule="auto"/>
        <w:rPr>
          <w:rFonts w:asciiTheme="minorEastAsia" w:hAnsiTheme="minorEastAsia" w:cs="Times New Roman"/>
          <w:sz w:val="24"/>
          <w:szCs w:val="24"/>
          <w:highlight w:val="yellow"/>
        </w:rPr>
      </w:pPr>
    </w:p>
    <w:p w:rsidR="00A7390D" w:rsidRPr="008A60A2" w:rsidRDefault="00A7390D" w:rsidP="008A60A2">
      <w:pPr>
        <w:spacing w:line="480" w:lineRule="auto"/>
        <w:rPr>
          <w:rFonts w:asciiTheme="minorEastAsia" w:hAnsiTheme="minorEastAsia" w:cs="Times New Roman"/>
          <w:b/>
          <w:kern w:val="0"/>
          <w:sz w:val="24"/>
          <w:szCs w:val="24"/>
        </w:rPr>
      </w:pPr>
      <w:r w:rsidRPr="008A60A2">
        <w:rPr>
          <w:rFonts w:asciiTheme="minorEastAsia" w:hAnsiTheme="minorEastAsia" w:cs="Times New Roman"/>
          <w:b/>
          <w:kern w:val="0"/>
          <w:sz w:val="24"/>
          <w:szCs w:val="24"/>
        </w:rPr>
        <w:t>实验室研究方向</w:t>
      </w:r>
    </w:p>
    <w:p w:rsidR="004568A0" w:rsidRPr="008A60A2" w:rsidRDefault="0060008B" w:rsidP="008A60A2">
      <w:pPr>
        <w:spacing w:line="480" w:lineRule="auto"/>
        <w:ind w:firstLineChars="200" w:firstLine="480"/>
        <w:rPr>
          <w:rFonts w:asciiTheme="minorEastAsia" w:hAnsiTheme="minorEastAsia" w:cs="Times New Roman"/>
          <w:kern w:val="0"/>
          <w:sz w:val="24"/>
          <w:szCs w:val="24"/>
        </w:rPr>
      </w:pPr>
      <w:r w:rsidRPr="008A60A2">
        <w:rPr>
          <w:rFonts w:asciiTheme="minorEastAsia" w:hAnsiTheme="minorEastAsia" w:cs="Times New Roman"/>
          <w:kern w:val="0"/>
          <w:sz w:val="24"/>
          <w:szCs w:val="24"/>
        </w:rPr>
        <w:t>北大</w:t>
      </w:r>
      <w:r w:rsidR="00A7390D" w:rsidRPr="008A60A2">
        <w:rPr>
          <w:rFonts w:asciiTheme="minorEastAsia" w:hAnsiTheme="minorEastAsia" w:cs="Times New Roman"/>
          <w:kern w:val="0"/>
          <w:sz w:val="24"/>
          <w:szCs w:val="24"/>
        </w:rPr>
        <w:t>国家重点实验室经过</w:t>
      </w:r>
      <w:r w:rsidR="00065F82" w:rsidRPr="008A60A2">
        <w:rPr>
          <w:rFonts w:asciiTheme="minorEastAsia" w:hAnsiTheme="minorEastAsia" w:cs="Times New Roman"/>
          <w:kern w:val="0"/>
          <w:sz w:val="24"/>
          <w:szCs w:val="24"/>
        </w:rPr>
        <w:t>30</w:t>
      </w:r>
      <w:r w:rsidR="00B52105" w:rsidRPr="008A60A2">
        <w:rPr>
          <w:rFonts w:asciiTheme="minorEastAsia" w:hAnsiTheme="minorEastAsia" w:cs="Times New Roman" w:hint="eastAsia"/>
          <w:kern w:val="0"/>
          <w:sz w:val="24"/>
          <w:szCs w:val="24"/>
        </w:rPr>
        <w:t>多</w:t>
      </w:r>
      <w:r w:rsidR="00A7390D" w:rsidRPr="008A60A2">
        <w:rPr>
          <w:rFonts w:asciiTheme="minorEastAsia" w:hAnsiTheme="minorEastAsia" w:cs="Times New Roman"/>
          <w:kern w:val="0"/>
          <w:sz w:val="24"/>
          <w:szCs w:val="24"/>
        </w:rPr>
        <w:t>年的建设，</w:t>
      </w:r>
      <w:r w:rsidR="00065F82" w:rsidRPr="008A60A2">
        <w:rPr>
          <w:rFonts w:asciiTheme="minorEastAsia" w:hAnsiTheme="minorEastAsia" w:cs="Times New Roman"/>
          <w:kern w:val="0"/>
          <w:sz w:val="24"/>
          <w:szCs w:val="24"/>
        </w:rPr>
        <w:t>在大气环境科学领域，形成了大气环境化学和大气环境模拟与控制两个特色的学科方向。近年来对城市和区域大气污染控制开展了系列研究，并率先提出“大气复合污染”的概念，引起国际同行的广泛关注和浓厚兴趣。逐步形成了</w:t>
      </w:r>
      <w:r w:rsidR="00D33F1F" w:rsidRPr="008A60A2">
        <w:rPr>
          <w:rFonts w:asciiTheme="minorEastAsia" w:hAnsiTheme="minorEastAsia" w:cs="Times New Roman" w:hint="eastAsia"/>
          <w:kern w:val="0"/>
          <w:sz w:val="24"/>
          <w:szCs w:val="24"/>
        </w:rPr>
        <w:t>环境监测方法</w:t>
      </w:r>
      <w:r w:rsidR="00065F82" w:rsidRPr="008A60A2">
        <w:rPr>
          <w:rFonts w:asciiTheme="minorEastAsia" w:hAnsiTheme="minorEastAsia" w:cs="Times New Roman"/>
          <w:kern w:val="0"/>
          <w:sz w:val="24"/>
          <w:szCs w:val="24"/>
        </w:rPr>
        <w:t>、</w:t>
      </w:r>
      <w:r w:rsidR="00D33F1F" w:rsidRPr="008A60A2">
        <w:rPr>
          <w:rFonts w:asciiTheme="minorEastAsia" w:hAnsiTheme="minorEastAsia" w:cs="Times New Roman" w:hint="eastAsia"/>
          <w:kern w:val="0"/>
          <w:sz w:val="24"/>
          <w:szCs w:val="24"/>
        </w:rPr>
        <w:t>区域大气复合污染转化机制</w:t>
      </w:r>
      <w:r w:rsidR="00065F82" w:rsidRPr="008A60A2">
        <w:rPr>
          <w:rFonts w:asciiTheme="minorEastAsia" w:hAnsiTheme="minorEastAsia" w:cs="Times New Roman"/>
          <w:kern w:val="0"/>
          <w:sz w:val="24"/>
          <w:szCs w:val="24"/>
        </w:rPr>
        <w:t>、</w:t>
      </w:r>
      <w:r w:rsidR="00D33F1F" w:rsidRPr="008A60A2">
        <w:rPr>
          <w:rFonts w:asciiTheme="minorEastAsia" w:hAnsiTheme="minorEastAsia" w:cs="Times New Roman" w:hint="eastAsia"/>
          <w:kern w:val="0"/>
          <w:sz w:val="24"/>
          <w:szCs w:val="24"/>
        </w:rPr>
        <w:t>大气污染源解析与控制对策</w:t>
      </w:r>
      <w:r w:rsidR="00065F82" w:rsidRPr="008A60A2">
        <w:rPr>
          <w:rFonts w:asciiTheme="minorEastAsia" w:hAnsiTheme="minorEastAsia" w:cs="Times New Roman"/>
          <w:kern w:val="0"/>
          <w:sz w:val="24"/>
          <w:szCs w:val="24"/>
        </w:rPr>
        <w:t>、</w:t>
      </w:r>
      <w:r w:rsidR="00D33F1F" w:rsidRPr="008A60A2">
        <w:rPr>
          <w:rFonts w:asciiTheme="minorEastAsia" w:hAnsiTheme="minorEastAsia" w:cs="Times New Roman" w:hint="eastAsia"/>
          <w:kern w:val="0"/>
          <w:sz w:val="24"/>
          <w:szCs w:val="24"/>
        </w:rPr>
        <w:t>大气污染物控制技术</w:t>
      </w:r>
      <w:r w:rsidR="00065F82" w:rsidRPr="008A60A2">
        <w:rPr>
          <w:rFonts w:asciiTheme="minorEastAsia" w:hAnsiTheme="minorEastAsia" w:cs="Times New Roman"/>
          <w:kern w:val="0"/>
          <w:sz w:val="24"/>
          <w:szCs w:val="24"/>
        </w:rPr>
        <w:t>、</w:t>
      </w:r>
      <w:r w:rsidR="00D33F1F" w:rsidRPr="008A60A2">
        <w:rPr>
          <w:rFonts w:asciiTheme="minorEastAsia" w:hAnsiTheme="minorEastAsia" w:cs="Times New Roman" w:hint="eastAsia"/>
          <w:kern w:val="0"/>
          <w:sz w:val="24"/>
          <w:szCs w:val="24"/>
        </w:rPr>
        <w:t>全球气候变化及其</w:t>
      </w:r>
      <w:r w:rsidR="00DB1087" w:rsidRPr="008A60A2">
        <w:rPr>
          <w:rFonts w:asciiTheme="minorEastAsia" w:hAnsiTheme="minorEastAsia" w:cs="Times New Roman" w:hint="eastAsia"/>
          <w:kern w:val="0"/>
          <w:sz w:val="24"/>
          <w:szCs w:val="24"/>
        </w:rPr>
        <w:t>响应</w:t>
      </w:r>
      <w:r w:rsidR="00065F82" w:rsidRPr="008A60A2">
        <w:rPr>
          <w:rFonts w:asciiTheme="minorEastAsia" w:hAnsiTheme="minorEastAsia" w:cs="Times New Roman"/>
          <w:kern w:val="0"/>
          <w:sz w:val="24"/>
          <w:szCs w:val="24"/>
        </w:rPr>
        <w:t>、</w:t>
      </w:r>
      <w:r w:rsidR="00DB1087" w:rsidRPr="008A60A2">
        <w:rPr>
          <w:rFonts w:asciiTheme="minorEastAsia" w:hAnsiTheme="minorEastAsia" w:cs="Times New Roman" w:hint="eastAsia"/>
          <w:kern w:val="0"/>
          <w:sz w:val="24"/>
          <w:szCs w:val="24"/>
        </w:rPr>
        <w:t>区域与城市生态</w:t>
      </w:r>
      <w:r w:rsidR="00065F82" w:rsidRPr="008A60A2">
        <w:rPr>
          <w:rFonts w:asciiTheme="minorEastAsia" w:hAnsiTheme="minorEastAsia" w:cs="Times New Roman"/>
          <w:kern w:val="0"/>
          <w:sz w:val="24"/>
          <w:szCs w:val="24"/>
        </w:rPr>
        <w:t>等研究方向。</w:t>
      </w:r>
      <w:r w:rsidR="004568A0" w:rsidRPr="008A60A2">
        <w:rPr>
          <w:rFonts w:asciiTheme="minorEastAsia" w:hAnsiTheme="minorEastAsia" w:cs="Times New Roman"/>
          <w:kern w:val="0"/>
          <w:sz w:val="24"/>
          <w:szCs w:val="24"/>
        </w:rPr>
        <w:t xml:space="preserve"> </w:t>
      </w:r>
    </w:p>
    <w:p w:rsidR="00A7390D" w:rsidRPr="008A60A2" w:rsidRDefault="004568A0" w:rsidP="008A60A2">
      <w:pPr>
        <w:spacing w:line="480" w:lineRule="auto"/>
        <w:ind w:firstLineChars="200" w:firstLine="480"/>
        <w:rPr>
          <w:rFonts w:asciiTheme="minorEastAsia" w:hAnsiTheme="minorEastAsia" w:cs="Times New Roman"/>
          <w:sz w:val="24"/>
          <w:szCs w:val="24"/>
        </w:rPr>
      </w:pPr>
      <w:r w:rsidRPr="008A60A2">
        <w:rPr>
          <w:rFonts w:asciiTheme="minorEastAsia" w:hAnsiTheme="minorEastAsia" w:cs="Times New Roman"/>
          <w:kern w:val="0"/>
          <w:sz w:val="24"/>
          <w:szCs w:val="24"/>
        </w:rPr>
        <w:t xml:space="preserve"> </w:t>
      </w:r>
    </w:p>
    <w:p w:rsidR="00A7390D" w:rsidRPr="008A60A2" w:rsidRDefault="00A7390D" w:rsidP="008A60A2">
      <w:pPr>
        <w:spacing w:line="480" w:lineRule="auto"/>
        <w:rPr>
          <w:rFonts w:asciiTheme="minorEastAsia" w:hAnsiTheme="minorEastAsia" w:cs="Times New Roman"/>
          <w:b/>
          <w:kern w:val="0"/>
          <w:sz w:val="24"/>
          <w:szCs w:val="24"/>
        </w:rPr>
      </w:pPr>
      <w:r w:rsidRPr="008A60A2">
        <w:rPr>
          <w:rFonts w:asciiTheme="minorEastAsia" w:hAnsiTheme="minorEastAsia" w:cs="Times New Roman"/>
          <w:b/>
          <w:kern w:val="0"/>
          <w:sz w:val="24"/>
          <w:szCs w:val="24"/>
        </w:rPr>
        <w:t>实验室研究成果</w:t>
      </w:r>
    </w:p>
    <w:p w:rsidR="006D18DA" w:rsidRPr="008A60A2" w:rsidRDefault="006D18DA" w:rsidP="008A60A2">
      <w:pPr>
        <w:spacing w:line="480" w:lineRule="auto"/>
        <w:ind w:firstLineChars="200" w:firstLine="480"/>
        <w:rPr>
          <w:rFonts w:asciiTheme="minorEastAsia" w:hAnsiTheme="minorEastAsia" w:cs="Times New Roman"/>
          <w:sz w:val="24"/>
          <w:szCs w:val="24"/>
        </w:rPr>
      </w:pPr>
      <w:r w:rsidRPr="008A60A2">
        <w:rPr>
          <w:rFonts w:asciiTheme="minorEastAsia" w:hAnsiTheme="minorEastAsia" w:cs="Times New Roman" w:hint="eastAsia"/>
          <w:sz w:val="24"/>
          <w:szCs w:val="24"/>
        </w:rPr>
        <w:t>近5年来，重点实验室取得了一些重大研究成果，其中</w:t>
      </w:r>
      <w:r w:rsidR="001A501D" w:rsidRPr="008A60A2">
        <w:rPr>
          <w:rFonts w:asciiTheme="minorEastAsia" w:hAnsiTheme="minorEastAsia" w:cs="Times New Roman" w:hint="eastAsia"/>
          <w:sz w:val="24"/>
          <w:szCs w:val="24"/>
        </w:rPr>
        <w:t>获</w:t>
      </w:r>
      <w:r w:rsidRPr="008A60A2">
        <w:rPr>
          <w:rFonts w:asciiTheme="minorEastAsia" w:hAnsiTheme="minorEastAsia" w:cs="Times New Roman" w:hint="eastAsia"/>
          <w:sz w:val="24"/>
          <w:szCs w:val="24"/>
        </w:rPr>
        <w:t>国家自然科学奖二等奖1项，教育部自然科学一等奖1项，环境保护科学技术二等奖1项，三等奖1项，河北省技术发明二等奖1项；承担国家重点研发计划，重大研究计划项目，</w:t>
      </w:r>
      <w:r w:rsidRPr="008A60A2">
        <w:rPr>
          <w:rFonts w:asciiTheme="minorEastAsia" w:hAnsiTheme="minorEastAsia" w:cs="Times New Roman" w:hint="eastAsia"/>
          <w:sz w:val="24"/>
          <w:szCs w:val="24"/>
        </w:rPr>
        <w:lastRenderedPageBreak/>
        <w:t>生态环境部大气治理攻关专项</w:t>
      </w:r>
      <w:r w:rsidRPr="008A60A2">
        <w:rPr>
          <w:rFonts w:asciiTheme="minorEastAsia" w:hAnsiTheme="minorEastAsia" w:cs="Times New Roman"/>
          <w:sz w:val="24"/>
          <w:szCs w:val="24"/>
        </w:rPr>
        <w:t>(总理基金项目)</w:t>
      </w:r>
      <w:r w:rsidRPr="008A60A2">
        <w:rPr>
          <w:rFonts w:asciiTheme="minorEastAsia" w:hAnsiTheme="minorEastAsia" w:cs="Times New Roman" w:hint="eastAsia"/>
          <w:sz w:val="24"/>
          <w:szCs w:val="24"/>
        </w:rPr>
        <w:t>等重要科研项目58项</w:t>
      </w:r>
      <w:r w:rsidR="0028665F" w:rsidRPr="008A60A2">
        <w:rPr>
          <w:rFonts w:asciiTheme="minorEastAsia" w:hAnsiTheme="minorEastAsia" w:cs="Times New Roman" w:hint="eastAsia"/>
          <w:sz w:val="24"/>
          <w:szCs w:val="24"/>
        </w:rPr>
        <w:t>，支撑了大气污染物防控</w:t>
      </w:r>
      <w:r w:rsidRPr="008A60A2">
        <w:rPr>
          <w:rFonts w:asciiTheme="minorEastAsia" w:hAnsiTheme="minorEastAsia" w:cs="Times New Roman" w:hint="eastAsia"/>
          <w:sz w:val="24"/>
          <w:szCs w:val="24"/>
        </w:rPr>
        <w:t>；在</w:t>
      </w:r>
      <w:r w:rsidRPr="008A60A2">
        <w:rPr>
          <w:rFonts w:asciiTheme="minorEastAsia" w:hAnsiTheme="minorEastAsia" w:cs="Times New Roman"/>
          <w:sz w:val="24"/>
          <w:szCs w:val="24"/>
        </w:rPr>
        <w:t>PNAS</w:t>
      </w:r>
      <w:r w:rsidRPr="008A60A2">
        <w:rPr>
          <w:rFonts w:asciiTheme="minorEastAsia" w:hAnsiTheme="minorEastAsia" w:cs="Times New Roman" w:hint="eastAsia"/>
          <w:sz w:val="24"/>
          <w:szCs w:val="24"/>
        </w:rPr>
        <w:t>、E</w:t>
      </w:r>
      <w:r w:rsidRPr="008A60A2">
        <w:rPr>
          <w:rFonts w:asciiTheme="minorEastAsia" w:hAnsiTheme="minorEastAsia" w:cs="Times New Roman"/>
          <w:sz w:val="24"/>
          <w:szCs w:val="24"/>
        </w:rPr>
        <w:t>nviron. Sci. &amp; Tech.</w:t>
      </w:r>
      <w:r w:rsidRPr="008A60A2">
        <w:rPr>
          <w:rFonts w:asciiTheme="minorEastAsia" w:hAnsiTheme="minorEastAsia" w:cs="Times New Roman" w:hint="eastAsia"/>
          <w:sz w:val="24"/>
          <w:szCs w:val="24"/>
        </w:rPr>
        <w:t>、Atmos.</w:t>
      </w:r>
      <w:r w:rsidRPr="008A60A2">
        <w:rPr>
          <w:rFonts w:asciiTheme="minorEastAsia" w:hAnsiTheme="minorEastAsia" w:cs="Times New Roman"/>
          <w:sz w:val="24"/>
          <w:szCs w:val="24"/>
        </w:rPr>
        <w:t xml:space="preserve"> Chem. Phys.</w:t>
      </w:r>
      <w:r w:rsidRPr="008A60A2">
        <w:rPr>
          <w:rFonts w:asciiTheme="minorEastAsia" w:hAnsiTheme="minorEastAsia" w:cs="Times New Roman" w:hint="eastAsia"/>
          <w:sz w:val="24"/>
          <w:szCs w:val="24"/>
        </w:rPr>
        <w:t>和J</w:t>
      </w:r>
      <w:r w:rsidRPr="008A60A2">
        <w:rPr>
          <w:rFonts w:asciiTheme="minorEastAsia" w:hAnsiTheme="minorEastAsia" w:cs="Times New Roman"/>
          <w:sz w:val="24"/>
          <w:szCs w:val="24"/>
        </w:rPr>
        <w:t>. Geophys. Res.</w:t>
      </w:r>
      <w:r w:rsidRPr="008A60A2">
        <w:rPr>
          <w:rFonts w:asciiTheme="minorEastAsia" w:hAnsiTheme="minorEastAsia" w:cs="Times New Roman" w:hint="eastAsia"/>
          <w:sz w:val="24"/>
          <w:szCs w:val="24"/>
        </w:rPr>
        <w:t>等国际重要期刊上发表SCI文章3</w:t>
      </w:r>
      <w:r w:rsidRPr="008A60A2">
        <w:rPr>
          <w:rFonts w:asciiTheme="minorEastAsia" w:hAnsiTheme="minorEastAsia" w:cs="Times New Roman"/>
          <w:sz w:val="24"/>
          <w:szCs w:val="24"/>
        </w:rPr>
        <w:t>01</w:t>
      </w:r>
      <w:r w:rsidRPr="008A60A2">
        <w:rPr>
          <w:rFonts w:asciiTheme="minorEastAsia" w:hAnsiTheme="minorEastAsia" w:cs="Times New Roman" w:hint="eastAsia"/>
          <w:sz w:val="24"/>
          <w:szCs w:val="24"/>
        </w:rPr>
        <w:t>篇，其中1区论文184篇，授权发明专利18项。</w:t>
      </w:r>
    </w:p>
    <w:p w:rsidR="006D18DA" w:rsidRPr="008A60A2" w:rsidRDefault="006D18DA" w:rsidP="008A60A2">
      <w:pPr>
        <w:spacing w:line="480" w:lineRule="auto"/>
        <w:ind w:firstLineChars="200" w:firstLine="480"/>
        <w:rPr>
          <w:rFonts w:asciiTheme="minorEastAsia" w:hAnsiTheme="minorEastAsia" w:cs="Times New Roman"/>
          <w:sz w:val="24"/>
          <w:szCs w:val="24"/>
        </w:rPr>
      </w:pPr>
    </w:p>
    <w:p w:rsidR="00A7390D" w:rsidRPr="008A60A2" w:rsidRDefault="00A7390D" w:rsidP="008A60A2">
      <w:pPr>
        <w:spacing w:line="480" w:lineRule="auto"/>
        <w:rPr>
          <w:rFonts w:asciiTheme="minorEastAsia" w:hAnsiTheme="minorEastAsia" w:cs="Times New Roman"/>
          <w:b/>
          <w:bCs/>
          <w:sz w:val="24"/>
          <w:szCs w:val="24"/>
        </w:rPr>
      </w:pPr>
      <w:r w:rsidRPr="008A60A2">
        <w:rPr>
          <w:rFonts w:asciiTheme="minorEastAsia" w:hAnsiTheme="minorEastAsia" w:cs="Times New Roman"/>
          <w:b/>
          <w:bCs/>
          <w:sz w:val="24"/>
          <w:szCs w:val="24"/>
        </w:rPr>
        <w:t>科研支撑能力</w:t>
      </w:r>
    </w:p>
    <w:p w:rsidR="00065F82" w:rsidRPr="008A60A2" w:rsidRDefault="00065F82" w:rsidP="008A60A2">
      <w:pPr>
        <w:spacing w:line="480" w:lineRule="auto"/>
        <w:ind w:firstLine="420"/>
        <w:rPr>
          <w:rFonts w:asciiTheme="minorEastAsia" w:hAnsiTheme="minorEastAsia" w:cs="Times New Roman"/>
          <w:sz w:val="24"/>
          <w:szCs w:val="24"/>
        </w:rPr>
      </w:pPr>
      <w:r w:rsidRPr="008A60A2">
        <w:rPr>
          <w:rFonts w:asciiTheme="minorEastAsia" w:hAnsiTheme="minorEastAsia" w:cs="Times New Roman"/>
          <w:color w:val="262626"/>
          <w:kern w:val="0"/>
          <w:sz w:val="24"/>
          <w:szCs w:val="24"/>
        </w:rPr>
        <w:t>国家重点实验室重视基础设施的能力建设，在“985”、“211”和重点实验室专项经费支持下，形成了以现场测量、实验室模拟和数值模型为研究手段的大气化学与大气环境研究平台，具有先进的外场实时在线观测技术，而且拥有大气化学反应模拟、大气边界层物理过程的风洞模拟等独特手段。分别在北京大学本部、昌平校区建立了城市和区域大气环境定位观测站</w:t>
      </w:r>
      <w:r w:rsidR="0028665F" w:rsidRPr="008A60A2">
        <w:rPr>
          <w:rFonts w:asciiTheme="minorEastAsia" w:hAnsiTheme="minorEastAsia" w:cs="Times New Roman" w:hint="eastAsia"/>
          <w:color w:val="262626"/>
          <w:kern w:val="0"/>
          <w:sz w:val="24"/>
          <w:szCs w:val="24"/>
        </w:rPr>
        <w:t>，并进行长期观测研究</w:t>
      </w:r>
      <w:r w:rsidRPr="008A60A2">
        <w:rPr>
          <w:rFonts w:asciiTheme="minorEastAsia" w:hAnsiTheme="minorEastAsia" w:cs="Times New Roman"/>
          <w:color w:val="262626"/>
          <w:kern w:val="0"/>
          <w:sz w:val="24"/>
          <w:szCs w:val="24"/>
        </w:rPr>
        <w:t>。拥有多个流动观测集装箱实验室、风廓线雷达观测车和用于环境与健康研究的流动观测车。自主研发了在线VOCs、气体和气溶胶水溶性污染组分在线观测系统GAC等大气环境监测设备和技术。</w:t>
      </w:r>
    </w:p>
    <w:p w:rsidR="00065F82" w:rsidRPr="008A60A2" w:rsidRDefault="00065F82" w:rsidP="008A60A2">
      <w:pPr>
        <w:spacing w:line="480" w:lineRule="auto"/>
        <w:rPr>
          <w:rFonts w:asciiTheme="minorEastAsia" w:hAnsiTheme="minorEastAsia" w:cs="Times New Roman"/>
          <w:sz w:val="24"/>
          <w:szCs w:val="24"/>
        </w:rPr>
      </w:pPr>
    </w:p>
    <w:p w:rsidR="00065F82" w:rsidRPr="008A60A2" w:rsidRDefault="00944A9D" w:rsidP="008A60A2">
      <w:pPr>
        <w:spacing w:line="480" w:lineRule="auto"/>
        <w:rPr>
          <w:rFonts w:asciiTheme="minorEastAsia" w:hAnsiTheme="minorEastAsia" w:cs="Times New Roman"/>
          <w:sz w:val="24"/>
          <w:szCs w:val="24"/>
        </w:rPr>
      </w:pPr>
      <w:r w:rsidRPr="008A60A2">
        <w:rPr>
          <w:rFonts w:asciiTheme="minorEastAsia" w:hAnsiTheme="minorEastAsia" w:cs="Times New Roman"/>
          <w:noProof/>
          <w:sz w:val="24"/>
          <w:szCs w:val="24"/>
        </w:rPr>
        <w:drawing>
          <wp:inline distT="0" distB="0" distL="0" distR="0">
            <wp:extent cx="5274310" cy="2155631"/>
            <wp:effectExtent l="0" t="0" r="0" b="0"/>
            <wp:docPr id="2" name="图片 2" descr="C:\Users\DELL\AppData\Local\Temp\1604025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160402524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155631"/>
                    </a:xfrm>
                    <a:prstGeom prst="rect">
                      <a:avLst/>
                    </a:prstGeom>
                    <a:noFill/>
                    <a:ln>
                      <a:noFill/>
                    </a:ln>
                  </pic:spPr>
                </pic:pic>
              </a:graphicData>
            </a:graphic>
          </wp:inline>
        </w:drawing>
      </w:r>
      <w:bookmarkEnd w:id="0"/>
    </w:p>
    <w:sectPr w:rsidR="00065F82" w:rsidRPr="008A60A2" w:rsidSect="007458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F35" w:rsidRDefault="00E86F35" w:rsidP="00971174">
      <w:r>
        <w:separator/>
      </w:r>
    </w:p>
  </w:endnote>
  <w:endnote w:type="continuationSeparator" w:id="0">
    <w:p w:rsidR="00E86F35" w:rsidRDefault="00E86F35" w:rsidP="0097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F35" w:rsidRDefault="00E86F35" w:rsidP="00971174">
      <w:r>
        <w:separator/>
      </w:r>
    </w:p>
  </w:footnote>
  <w:footnote w:type="continuationSeparator" w:id="0">
    <w:p w:rsidR="00E86F35" w:rsidRDefault="00E86F35" w:rsidP="00971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3F5"/>
    <w:multiLevelType w:val="hybridMultilevel"/>
    <w:tmpl w:val="6B925914"/>
    <w:lvl w:ilvl="0" w:tplc="78166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277699F"/>
    <w:multiLevelType w:val="hybridMultilevel"/>
    <w:tmpl w:val="0D7CBA92"/>
    <w:lvl w:ilvl="0" w:tplc="BA1410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145361"/>
    <w:multiLevelType w:val="hybridMultilevel"/>
    <w:tmpl w:val="72F0EF90"/>
    <w:lvl w:ilvl="0" w:tplc="C2EC62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E7776E"/>
    <w:multiLevelType w:val="hybridMultilevel"/>
    <w:tmpl w:val="C4DE2C84"/>
    <w:lvl w:ilvl="0" w:tplc="C7882D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FD46EBD"/>
    <w:multiLevelType w:val="hybridMultilevel"/>
    <w:tmpl w:val="C8F03D5E"/>
    <w:lvl w:ilvl="0" w:tplc="8F1A60C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2393C52"/>
    <w:multiLevelType w:val="hybridMultilevel"/>
    <w:tmpl w:val="886894D6"/>
    <w:lvl w:ilvl="0" w:tplc="6F6CE04A">
      <w:start w:val="1"/>
      <w:numFmt w:val="bullet"/>
      <w:lvlText w:val=""/>
      <w:lvlJc w:val="left"/>
      <w:pPr>
        <w:tabs>
          <w:tab w:val="num" w:pos="720"/>
        </w:tabs>
        <w:ind w:left="720" w:hanging="360"/>
      </w:pPr>
      <w:rPr>
        <w:rFonts w:ascii="Wingdings" w:hAnsi="Wingdings" w:hint="default"/>
      </w:rPr>
    </w:lvl>
    <w:lvl w:ilvl="1" w:tplc="241A64B8">
      <w:start w:val="1"/>
      <w:numFmt w:val="bullet"/>
      <w:lvlText w:val=""/>
      <w:lvlJc w:val="left"/>
      <w:pPr>
        <w:tabs>
          <w:tab w:val="num" w:pos="1440"/>
        </w:tabs>
        <w:ind w:left="1440" w:hanging="360"/>
      </w:pPr>
      <w:rPr>
        <w:rFonts w:ascii="Wingdings" w:hAnsi="Wingdings" w:hint="default"/>
      </w:rPr>
    </w:lvl>
    <w:lvl w:ilvl="2" w:tplc="800849A4" w:tentative="1">
      <w:start w:val="1"/>
      <w:numFmt w:val="bullet"/>
      <w:lvlText w:val=""/>
      <w:lvlJc w:val="left"/>
      <w:pPr>
        <w:tabs>
          <w:tab w:val="num" w:pos="2160"/>
        </w:tabs>
        <w:ind w:left="2160" w:hanging="360"/>
      </w:pPr>
      <w:rPr>
        <w:rFonts w:ascii="Wingdings" w:hAnsi="Wingdings" w:hint="default"/>
      </w:rPr>
    </w:lvl>
    <w:lvl w:ilvl="3" w:tplc="AFC0F5E2" w:tentative="1">
      <w:start w:val="1"/>
      <w:numFmt w:val="bullet"/>
      <w:lvlText w:val=""/>
      <w:lvlJc w:val="left"/>
      <w:pPr>
        <w:tabs>
          <w:tab w:val="num" w:pos="2880"/>
        </w:tabs>
        <w:ind w:left="2880" w:hanging="360"/>
      </w:pPr>
      <w:rPr>
        <w:rFonts w:ascii="Wingdings" w:hAnsi="Wingdings" w:hint="default"/>
      </w:rPr>
    </w:lvl>
    <w:lvl w:ilvl="4" w:tplc="6F98826E" w:tentative="1">
      <w:start w:val="1"/>
      <w:numFmt w:val="bullet"/>
      <w:lvlText w:val=""/>
      <w:lvlJc w:val="left"/>
      <w:pPr>
        <w:tabs>
          <w:tab w:val="num" w:pos="3600"/>
        </w:tabs>
        <w:ind w:left="3600" w:hanging="360"/>
      </w:pPr>
      <w:rPr>
        <w:rFonts w:ascii="Wingdings" w:hAnsi="Wingdings" w:hint="default"/>
      </w:rPr>
    </w:lvl>
    <w:lvl w:ilvl="5" w:tplc="2CEA72AC" w:tentative="1">
      <w:start w:val="1"/>
      <w:numFmt w:val="bullet"/>
      <w:lvlText w:val=""/>
      <w:lvlJc w:val="left"/>
      <w:pPr>
        <w:tabs>
          <w:tab w:val="num" w:pos="4320"/>
        </w:tabs>
        <w:ind w:left="4320" w:hanging="360"/>
      </w:pPr>
      <w:rPr>
        <w:rFonts w:ascii="Wingdings" w:hAnsi="Wingdings" w:hint="default"/>
      </w:rPr>
    </w:lvl>
    <w:lvl w:ilvl="6" w:tplc="9ACE6CDC" w:tentative="1">
      <w:start w:val="1"/>
      <w:numFmt w:val="bullet"/>
      <w:lvlText w:val=""/>
      <w:lvlJc w:val="left"/>
      <w:pPr>
        <w:tabs>
          <w:tab w:val="num" w:pos="5040"/>
        </w:tabs>
        <w:ind w:left="5040" w:hanging="360"/>
      </w:pPr>
      <w:rPr>
        <w:rFonts w:ascii="Wingdings" w:hAnsi="Wingdings" w:hint="default"/>
      </w:rPr>
    </w:lvl>
    <w:lvl w:ilvl="7" w:tplc="C1A8BE02" w:tentative="1">
      <w:start w:val="1"/>
      <w:numFmt w:val="bullet"/>
      <w:lvlText w:val=""/>
      <w:lvlJc w:val="left"/>
      <w:pPr>
        <w:tabs>
          <w:tab w:val="num" w:pos="5760"/>
        </w:tabs>
        <w:ind w:left="5760" w:hanging="360"/>
      </w:pPr>
      <w:rPr>
        <w:rFonts w:ascii="Wingdings" w:hAnsi="Wingdings" w:hint="default"/>
      </w:rPr>
    </w:lvl>
    <w:lvl w:ilvl="8" w:tplc="CA862002"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90D"/>
    <w:rsid w:val="00037583"/>
    <w:rsid w:val="00065F82"/>
    <w:rsid w:val="00081863"/>
    <w:rsid w:val="000F5F10"/>
    <w:rsid w:val="001101CA"/>
    <w:rsid w:val="00176F58"/>
    <w:rsid w:val="001A501D"/>
    <w:rsid w:val="001C14BC"/>
    <w:rsid w:val="001D641F"/>
    <w:rsid w:val="00231E13"/>
    <w:rsid w:val="0025759D"/>
    <w:rsid w:val="0028665F"/>
    <w:rsid w:val="002930EF"/>
    <w:rsid w:val="0033525E"/>
    <w:rsid w:val="003727AD"/>
    <w:rsid w:val="0037716B"/>
    <w:rsid w:val="003F3354"/>
    <w:rsid w:val="00406011"/>
    <w:rsid w:val="00413864"/>
    <w:rsid w:val="0042251F"/>
    <w:rsid w:val="004568A0"/>
    <w:rsid w:val="00486AA5"/>
    <w:rsid w:val="004B276E"/>
    <w:rsid w:val="004C481C"/>
    <w:rsid w:val="00592726"/>
    <w:rsid w:val="005B235E"/>
    <w:rsid w:val="0060008B"/>
    <w:rsid w:val="00660A2C"/>
    <w:rsid w:val="00685E04"/>
    <w:rsid w:val="00697574"/>
    <w:rsid w:val="006B3CE6"/>
    <w:rsid w:val="006D0BB8"/>
    <w:rsid w:val="006D18DA"/>
    <w:rsid w:val="00707528"/>
    <w:rsid w:val="0074580A"/>
    <w:rsid w:val="00757D50"/>
    <w:rsid w:val="00775947"/>
    <w:rsid w:val="007D322C"/>
    <w:rsid w:val="00883FA4"/>
    <w:rsid w:val="008A60A2"/>
    <w:rsid w:val="008A6175"/>
    <w:rsid w:val="0092592B"/>
    <w:rsid w:val="00944A9D"/>
    <w:rsid w:val="00971174"/>
    <w:rsid w:val="00990311"/>
    <w:rsid w:val="009D306B"/>
    <w:rsid w:val="009F0648"/>
    <w:rsid w:val="00A36691"/>
    <w:rsid w:val="00A7390D"/>
    <w:rsid w:val="00AE0B4D"/>
    <w:rsid w:val="00AF69D5"/>
    <w:rsid w:val="00B32A9B"/>
    <w:rsid w:val="00B52105"/>
    <w:rsid w:val="00BD1F11"/>
    <w:rsid w:val="00BD36B0"/>
    <w:rsid w:val="00C04AFF"/>
    <w:rsid w:val="00C246D3"/>
    <w:rsid w:val="00C31B3C"/>
    <w:rsid w:val="00C520FC"/>
    <w:rsid w:val="00C7281C"/>
    <w:rsid w:val="00CD6C40"/>
    <w:rsid w:val="00D007D6"/>
    <w:rsid w:val="00D33F1F"/>
    <w:rsid w:val="00D37CBA"/>
    <w:rsid w:val="00D41611"/>
    <w:rsid w:val="00D76CFF"/>
    <w:rsid w:val="00DB1087"/>
    <w:rsid w:val="00DD065F"/>
    <w:rsid w:val="00DD37F2"/>
    <w:rsid w:val="00DF5AEA"/>
    <w:rsid w:val="00E04C05"/>
    <w:rsid w:val="00E57110"/>
    <w:rsid w:val="00E86F35"/>
    <w:rsid w:val="00EB1737"/>
    <w:rsid w:val="00EC546A"/>
    <w:rsid w:val="00F0512C"/>
    <w:rsid w:val="00F42E75"/>
    <w:rsid w:val="00F463C4"/>
    <w:rsid w:val="00F4797D"/>
    <w:rsid w:val="00FB3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09E028E-34F6-48B6-8A7E-CD3ED9E6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8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390D"/>
    <w:pPr>
      <w:ind w:firstLineChars="200" w:firstLine="420"/>
    </w:pPr>
  </w:style>
  <w:style w:type="paragraph" w:customStyle="1" w:styleId="1">
    <w:name w:val="页眉1"/>
    <w:basedOn w:val="a"/>
    <w:link w:val="Char"/>
    <w:uiPriority w:val="99"/>
    <w:semiHidden/>
    <w:unhideWhenUsed/>
    <w:rsid w:val="009711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1"/>
    <w:uiPriority w:val="99"/>
    <w:semiHidden/>
    <w:rsid w:val="00971174"/>
    <w:rPr>
      <w:sz w:val="18"/>
      <w:szCs w:val="18"/>
    </w:rPr>
  </w:style>
  <w:style w:type="paragraph" w:customStyle="1" w:styleId="10">
    <w:name w:val="页脚1"/>
    <w:basedOn w:val="a"/>
    <w:link w:val="Char0"/>
    <w:uiPriority w:val="99"/>
    <w:semiHidden/>
    <w:unhideWhenUsed/>
    <w:rsid w:val="00971174"/>
    <w:pPr>
      <w:tabs>
        <w:tab w:val="center" w:pos="4153"/>
        <w:tab w:val="right" w:pos="8306"/>
      </w:tabs>
      <w:snapToGrid w:val="0"/>
      <w:jc w:val="left"/>
    </w:pPr>
    <w:rPr>
      <w:sz w:val="18"/>
      <w:szCs w:val="18"/>
    </w:rPr>
  </w:style>
  <w:style w:type="character" w:customStyle="1" w:styleId="Char0">
    <w:name w:val="页脚 Char"/>
    <w:basedOn w:val="a0"/>
    <w:link w:val="10"/>
    <w:uiPriority w:val="99"/>
    <w:semiHidden/>
    <w:rsid w:val="00971174"/>
    <w:rPr>
      <w:sz w:val="18"/>
      <w:szCs w:val="18"/>
    </w:rPr>
  </w:style>
  <w:style w:type="paragraph" w:styleId="a4">
    <w:name w:val="header"/>
    <w:basedOn w:val="a"/>
    <w:link w:val="a5"/>
    <w:uiPriority w:val="99"/>
    <w:unhideWhenUsed/>
    <w:rsid w:val="004C481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C481C"/>
    <w:rPr>
      <w:sz w:val="18"/>
      <w:szCs w:val="18"/>
    </w:rPr>
  </w:style>
  <w:style w:type="paragraph" w:styleId="a6">
    <w:name w:val="footer"/>
    <w:basedOn w:val="a"/>
    <w:link w:val="a7"/>
    <w:uiPriority w:val="99"/>
    <w:unhideWhenUsed/>
    <w:rsid w:val="004C481C"/>
    <w:pPr>
      <w:tabs>
        <w:tab w:val="center" w:pos="4153"/>
        <w:tab w:val="right" w:pos="8306"/>
      </w:tabs>
      <w:snapToGrid w:val="0"/>
      <w:jc w:val="left"/>
    </w:pPr>
    <w:rPr>
      <w:sz w:val="18"/>
      <w:szCs w:val="18"/>
    </w:rPr>
  </w:style>
  <w:style w:type="character" w:customStyle="1" w:styleId="a7">
    <w:name w:val="页脚 字符"/>
    <w:basedOn w:val="a0"/>
    <w:link w:val="a6"/>
    <w:uiPriority w:val="99"/>
    <w:rsid w:val="004C48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556294">
      <w:bodyDiv w:val="1"/>
      <w:marLeft w:val="0"/>
      <w:marRight w:val="0"/>
      <w:marTop w:val="0"/>
      <w:marBottom w:val="0"/>
      <w:divBdr>
        <w:top w:val="none" w:sz="0" w:space="0" w:color="auto"/>
        <w:left w:val="none" w:sz="0" w:space="0" w:color="auto"/>
        <w:bottom w:val="none" w:sz="0" w:space="0" w:color="auto"/>
        <w:right w:val="none" w:sz="0" w:space="0" w:color="auto"/>
      </w:divBdr>
      <w:divsChild>
        <w:div w:id="279459980">
          <w:marLeft w:val="1166"/>
          <w:marRight w:val="0"/>
          <w:marTop w:val="134"/>
          <w:marBottom w:val="0"/>
          <w:divBdr>
            <w:top w:val="none" w:sz="0" w:space="0" w:color="auto"/>
            <w:left w:val="none" w:sz="0" w:space="0" w:color="auto"/>
            <w:bottom w:val="none" w:sz="0" w:space="0" w:color="auto"/>
            <w:right w:val="none" w:sz="0" w:space="0" w:color="auto"/>
          </w:divBdr>
        </w:div>
      </w:divsChild>
    </w:div>
    <w:div w:id="2108306872">
      <w:bodyDiv w:val="1"/>
      <w:marLeft w:val="0"/>
      <w:marRight w:val="0"/>
      <w:marTop w:val="0"/>
      <w:marBottom w:val="0"/>
      <w:divBdr>
        <w:top w:val="none" w:sz="0" w:space="0" w:color="auto"/>
        <w:left w:val="none" w:sz="0" w:space="0" w:color="auto"/>
        <w:bottom w:val="none" w:sz="0" w:space="0" w:color="auto"/>
        <w:right w:val="none" w:sz="0" w:space="0" w:color="auto"/>
      </w:divBdr>
      <w:divsChild>
        <w:div w:id="1817647861">
          <w:marLeft w:val="1166"/>
          <w:marRight w:val="0"/>
          <w:marTop w:val="96"/>
          <w:marBottom w:val="0"/>
          <w:divBdr>
            <w:top w:val="none" w:sz="0" w:space="0" w:color="auto"/>
            <w:left w:val="none" w:sz="0" w:space="0" w:color="auto"/>
            <w:bottom w:val="none" w:sz="0" w:space="0" w:color="auto"/>
            <w:right w:val="none" w:sz="0" w:space="0" w:color="auto"/>
          </w:divBdr>
        </w:div>
        <w:div w:id="796798582">
          <w:marLeft w:val="1166"/>
          <w:marRight w:val="0"/>
          <w:marTop w:val="96"/>
          <w:marBottom w:val="0"/>
          <w:divBdr>
            <w:top w:val="none" w:sz="0" w:space="0" w:color="auto"/>
            <w:left w:val="none" w:sz="0" w:space="0" w:color="auto"/>
            <w:bottom w:val="none" w:sz="0" w:space="0" w:color="auto"/>
            <w:right w:val="none" w:sz="0" w:space="0" w:color="auto"/>
          </w:divBdr>
        </w:div>
        <w:div w:id="848719527">
          <w:marLeft w:val="1166"/>
          <w:marRight w:val="0"/>
          <w:marTop w:val="96"/>
          <w:marBottom w:val="0"/>
          <w:divBdr>
            <w:top w:val="none" w:sz="0" w:space="0" w:color="auto"/>
            <w:left w:val="none" w:sz="0" w:space="0" w:color="auto"/>
            <w:bottom w:val="none" w:sz="0" w:space="0" w:color="auto"/>
            <w:right w:val="none" w:sz="0" w:space="0" w:color="auto"/>
          </w:divBdr>
        </w:div>
        <w:div w:id="234438317">
          <w:marLeft w:val="1166"/>
          <w:marRight w:val="0"/>
          <w:marTop w:val="96"/>
          <w:marBottom w:val="0"/>
          <w:divBdr>
            <w:top w:val="none" w:sz="0" w:space="0" w:color="auto"/>
            <w:left w:val="none" w:sz="0" w:space="0" w:color="auto"/>
            <w:bottom w:val="none" w:sz="0" w:space="0" w:color="auto"/>
            <w:right w:val="none" w:sz="0" w:space="0" w:color="auto"/>
          </w:divBdr>
        </w:div>
        <w:div w:id="975064148">
          <w:marLeft w:val="1166"/>
          <w:marRight w:val="0"/>
          <w:marTop w:val="96"/>
          <w:marBottom w:val="0"/>
          <w:divBdr>
            <w:top w:val="none" w:sz="0" w:space="0" w:color="auto"/>
            <w:left w:val="none" w:sz="0" w:space="0" w:color="auto"/>
            <w:bottom w:val="none" w:sz="0" w:space="0" w:color="auto"/>
            <w:right w:val="none" w:sz="0" w:space="0" w:color="auto"/>
          </w:divBdr>
        </w:div>
        <w:div w:id="25737338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189</Words>
  <Characters>1079</Characters>
  <Application>Microsoft Office Word</Application>
  <DocSecurity>0</DocSecurity>
  <Lines>8</Lines>
  <Paragraphs>2</Paragraphs>
  <ScaleCrop>false</ScaleCrop>
  <Company>安伦公司</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alzheng</dc:creator>
  <cp:keywords/>
  <dc:description/>
  <cp:lastModifiedBy>LI</cp:lastModifiedBy>
  <cp:revision>4</cp:revision>
  <dcterms:created xsi:type="dcterms:W3CDTF">2020-11-10T05:59:00Z</dcterms:created>
  <dcterms:modified xsi:type="dcterms:W3CDTF">2020-11-10T08:59:00Z</dcterms:modified>
</cp:coreProperties>
</file>